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suitable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business</w:t>
      </w:r>
      <w:proofErr w:type="spellEnd"/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sale)</w:t>
      </w:r>
    </w:p>
    <w:p w:rsidR="006041FF" w:rsidRDefault="008164C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Object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available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purchase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rent</w:t>
      </w:r>
      <w:proofErr w:type="spellEnd"/>
      <w:r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ED20EE" w:rsidP="00070293">
            <w:pPr>
              <w:rPr>
                <w:lang w:val="lt-LT"/>
              </w:rPr>
            </w:pPr>
            <w:r>
              <w:rPr>
                <w:lang w:val="lt-LT"/>
              </w:rPr>
              <w:t xml:space="preserve">Respublikos str. 113C, </w:t>
            </w:r>
            <w:r w:rsidR="008164CA">
              <w:rPr>
                <w:lang w:val="lt-LT"/>
              </w:rPr>
              <w:t xml:space="preserve">Rokiškis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Private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8164CA" w:rsidRDefault="00ED20EE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Administrative-industrial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trade</w:t>
            </w:r>
            <w:proofErr w:type="spellEnd"/>
            <w:r>
              <w:rPr>
                <w:lang w:val="lt-LT"/>
              </w:rPr>
              <w:t>)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ED20EE" w:rsidP="0007029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Former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Department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Store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ED20EE">
            <w:pPr>
              <w:rPr>
                <w:lang w:val="lt-LT"/>
              </w:rPr>
            </w:pPr>
            <w:r>
              <w:rPr>
                <w:lang w:val="lt-LT"/>
              </w:rPr>
              <w:t xml:space="preserve">27000 </w:t>
            </w:r>
            <w:proofErr w:type="spellStart"/>
            <w:r w:rsidR="00070293">
              <w:rPr>
                <w:lang w:val="lt-LT"/>
              </w:rPr>
              <w:t>sq.m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ED20E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Good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ED20E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070293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Asphalt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ED20EE" w:rsidRDefault="00ED20EE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</w:t>
            </w:r>
            <w:proofErr w:type="spellEnd"/>
          </w:p>
          <w:p w:rsidR="00ED20EE" w:rsidRDefault="00ED20EE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Car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parking</w:t>
            </w:r>
            <w:proofErr w:type="spellEnd"/>
          </w:p>
          <w:p w:rsidR="008164CA" w:rsidRDefault="008164CA" w:rsidP="00070293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8164CA" w:rsidP="00DF6189">
            <w:pPr>
              <w:rPr>
                <w:lang w:val="lt-LT"/>
              </w:rPr>
            </w:pPr>
          </w:p>
          <w:p w:rsidR="008164CA" w:rsidRDefault="00ED20EE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ED20EE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</w:tc>
      </w:tr>
    </w:tbl>
    <w:p w:rsidR="00070293" w:rsidRDefault="008164CA" w:rsidP="00070293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070293">
        <w:rPr>
          <w:rStyle w:val="Grietas"/>
          <w:rFonts w:ascii="Arial" w:hAnsi="Arial" w:cs="Arial"/>
          <w:color w:val="000000"/>
        </w:rPr>
        <w:t xml:space="preserve">Rita </w:t>
      </w:r>
      <w:proofErr w:type="spellStart"/>
      <w:r w:rsidR="00070293">
        <w:rPr>
          <w:rStyle w:val="Grietas"/>
          <w:rFonts w:ascii="Arial" w:hAnsi="Arial" w:cs="Arial"/>
          <w:color w:val="000000"/>
        </w:rPr>
        <w:t>Šeškienė</w:t>
      </w:r>
      <w:proofErr w:type="spellEnd"/>
    </w:p>
    <w:p w:rsidR="00070293" w:rsidRPr="00950423" w:rsidRDefault="00070293" w:rsidP="00070293">
      <w:pPr>
        <w:pStyle w:val="prastasistinklapis"/>
        <w:spacing w:before="60" w:beforeAutospacing="0" w:after="60" w:afterAutospacing="0"/>
        <w:rPr>
          <w:rFonts w:ascii="Arial" w:hAnsi="Arial" w:cs="Arial"/>
          <w:b/>
          <w:color w:val="686868"/>
        </w:rPr>
      </w:pPr>
      <w:r>
        <w:rPr>
          <w:rStyle w:val="Grietas"/>
          <w:b w:val="0"/>
          <w:color w:val="000000"/>
        </w:rPr>
        <w:t xml:space="preserve">Mobile </w:t>
      </w:r>
      <w:proofErr w:type="spellStart"/>
      <w:r>
        <w:rPr>
          <w:rStyle w:val="Grietas"/>
          <w:b w:val="0"/>
          <w:color w:val="000000"/>
        </w:rPr>
        <w:t>phone</w:t>
      </w:r>
      <w:proofErr w:type="spellEnd"/>
      <w:r>
        <w:rPr>
          <w:rStyle w:val="Grietas"/>
          <w:b w:val="0"/>
          <w:color w:val="000000"/>
        </w:rPr>
        <w:t xml:space="preserve">: </w:t>
      </w:r>
      <w:r>
        <w:rPr>
          <w:rStyle w:val="Grietas"/>
          <w:rFonts w:ascii="Arial" w:hAnsi="Arial" w:cs="Arial"/>
          <w:color w:val="000000"/>
        </w:rPr>
        <w:t xml:space="preserve">+370 685 12337 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8912DE">
      <w:pPr>
        <w:rPr>
          <w:lang w:val="lt-LT"/>
        </w:rPr>
      </w:pPr>
    </w:p>
    <w:p w:rsidR="00801767" w:rsidRDefault="00ED20EE">
      <w:pPr>
        <w:rPr>
          <w:lang w:val="lt-LT"/>
        </w:rPr>
      </w:pPr>
      <w:r w:rsidRPr="00ED20EE">
        <w:rPr>
          <w:lang w:val="lt-LT"/>
        </w:rPr>
        <w:drawing>
          <wp:inline distT="0" distB="0" distL="0" distR="0">
            <wp:extent cx="2924175" cy="2193131"/>
            <wp:effectExtent l="0" t="0" r="0" b="0"/>
            <wp:docPr id="5" name="Paveikslėlis 2" descr="C:\Users\Ieva1\Desktop\Dokumentai\Mamces\ST83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va1\Desktop\Dokumentai\Mamces\ST832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D5" w:rsidRDefault="009B17D5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70293"/>
    <w:rsid w:val="00087CE1"/>
    <w:rsid w:val="000A0083"/>
    <w:rsid w:val="000E5BF2"/>
    <w:rsid w:val="00162549"/>
    <w:rsid w:val="0020700A"/>
    <w:rsid w:val="002D6D04"/>
    <w:rsid w:val="003469C0"/>
    <w:rsid w:val="003D3FE4"/>
    <w:rsid w:val="00456A6B"/>
    <w:rsid w:val="004A6BE0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164CA"/>
    <w:rsid w:val="00824E6D"/>
    <w:rsid w:val="00831231"/>
    <w:rsid w:val="00833C27"/>
    <w:rsid w:val="0084042F"/>
    <w:rsid w:val="008912DE"/>
    <w:rsid w:val="008A18A8"/>
    <w:rsid w:val="0090048B"/>
    <w:rsid w:val="00925816"/>
    <w:rsid w:val="00962636"/>
    <w:rsid w:val="009B17D5"/>
    <w:rsid w:val="00A139F2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D7462A"/>
    <w:rsid w:val="00DA4E15"/>
    <w:rsid w:val="00DF6189"/>
    <w:rsid w:val="00DF74AE"/>
    <w:rsid w:val="00ED20EE"/>
    <w:rsid w:val="00EE4058"/>
    <w:rsid w:val="00F04A4F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cp:lastPrinted>2015-06-15T10:18:00Z</cp:lastPrinted>
  <dcterms:created xsi:type="dcterms:W3CDTF">2015-07-07T13:21:00Z</dcterms:created>
  <dcterms:modified xsi:type="dcterms:W3CDTF">2015-07-07T13:25:00Z</dcterms:modified>
</cp:coreProperties>
</file>